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>93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2612/2026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86MS0067-01-2026-004359-82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</w:t>
      </w:r>
    </w:p>
    <w:p>
      <w:pPr>
        <w:tabs>
          <w:tab w:val="left" w:pos="3495"/>
        </w:tabs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17 июня 2026 года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город Сургут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Думлер Галина Павловна</w:t>
      </w:r>
      <w:r>
        <w:rPr>
          <w:rFonts w:ascii="Times New Roman" w:eastAsia="Times New Roman" w:hAnsi="Times New Roman" w:cs="Times New Roman"/>
          <w:sz w:val="27"/>
          <w:szCs w:val="27"/>
        </w:rPr>
        <w:t>, находящийся по адресу: г.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>. 402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материалы дела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Общества с ограниченной ответственностью «</w:t>
      </w:r>
      <w:r>
        <w:rPr>
          <w:rFonts w:ascii="Times New Roman" w:eastAsia="Times New Roman" w:hAnsi="Times New Roman" w:cs="Times New Roman"/>
          <w:sz w:val="27"/>
          <w:szCs w:val="27"/>
        </w:rPr>
        <w:t>ЭЛИТ МЕБЕЛЬ +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19rplc-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осуществлении проверки налогового контроля выявлены достаточные данные, указывающие на наличие события административного правонарушения,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предусмотренного ст. 19.7 КоАП РФ,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именно: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01.04.2026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ЭЛИТ МЕБЕЛЬ +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адресу </w:t>
      </w:r>
      <w:r>
        <w:rPr>
          <w:rStyle w:val="cat-UserDefinedgrp-20rplc-1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исполнило установленную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>. 5.1 п. 1 ст. 23 НК РФ обязанность по своевременному предоставлению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УФНС России по ХМАО-Югре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ой (финансовой)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предоставления которой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не позднее 31.03.2026 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ода. Фактически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ая (финансовая)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представлена.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Представитель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ЭЛИТ МЕБЕЛЬ +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извещенный о времени и месте рассмотрения дела надлежащим образом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судебной повесткой, возвращённой в адрес суда с отметкой об истечении срока хранения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(п. 6 постановления Пленума ВС РФ от 24.03.2005 г. № 5), в судебное заседание не явился, ходатайств об отложении рассмотрения дела не заявлял.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Вследствие изложенного и на основании ч.2 ст. 25.1 КоАП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 считает возможным рассмотреть дело в отсутствие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представителя </w:t>
      </w:r>
      <w:r>
        <w:rPr>
          <w:rFonts w:ascii="Times New Roman" w:eastAsia="Times New Roman" w:hAnsi="Times New Roman" w:cs="Times New Roman"/>
          <w:sz w:val="27"/>
          <w:szCs w:val="27"/>
        </w:rPr>
        <w:t>юридического лица по имеющимся в деле доказательствам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ЭЛИТ МЕБЕЛЬ +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 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следующими документами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протоколом № </w:t>
      </w:r>
      <w:r>
        <w:rPr>
          <w:rFonts w:ascii="Times New Roman" w:eastAsia="Times New Roman" w:hAnsi="Times New Roman" w:cs="Times New Roman"/>
          <w:sz w:val="27"/>
          <w:szCs w:val="27"/>
        </w:rPr>
        <w:t>86002612700163400001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07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справкой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старшего государственного налогового инспектора отдела камерального контроля УФНС России по ХМАО-Югре от </w:t>
      </w:r>
      <w:r>
        <w:rPr>
          <w:rFonts w:ascii="Times New Roman" w:eastAsia="Times New Roman" w:hAnsi="Times New Roman" w:cs="Times New Roman"/>
          <w:sz w:val="27"/>
          <w:szCs w:val="27"/>
        </w:rPr>
        <w:t>07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копией выписки из Единого государственного реестра юридических лиц.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удья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5.1 п. 1 ст. 23 НК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налогоплательщики обязаны </w:t>
      </w:r>
      <w:hyperlink r:id="rId4" w:anchor="/multilink/10900200/paragraph/791/number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представлять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в налоговый орган по месту нахождения организации, у которой отсутствует обязанность представлять годовую бухгалтерскую (финансовую) отчетность, составляющую государственный информационный ресурс бухгалтерской (финансовой) отчетности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70103036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06.12.2011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года №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402-ФЗ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О бухгалтерском учете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годовую бухгалтерскую (финансовую) </w:t>
      </w:r>
      <w:r>
        <w:rPr>
          <w:rFonts w:ascii="Times New Roman" w:eastAsia="Times New Roman" w:hAnsi="Times New Roman" w:cs="Times New Roman"/>
          <w:sz w:val="27"/>
          <w:szCs w:val="27"/>
        </w:rPr>
        <w:t>отчетность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данным подпунктом.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>ценив приведенные выше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в их совокупности,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с учетом обстоятельств дела, считает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ЭЛИТ МЕБЕЛЬ +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полностью доказанной. 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sz w:val="27"/>
          <w:szCs w:val="27"/>
        </w:rPr>
        <w:t>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ЭЛИТ МЕБЕЛЬ +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квалифицируются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судом </w:t>
      </w:r>
      <w:r>
        <w:rPr>
          <w:rFonts w:ascii="Times New Roman" w:eastAsia="Times New Roman" w:hAnsi="Times New Roman" w:cs="Times New Roman"/>
          <w:sz w:val="27"/>
          <w:szCs w:val="27"/>
        </w:rPr>
        <w:t>по ст. 19.7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непредставление в государственный орган (должностному лицу), орган (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должностному лицу), осуществляющий (осуществляющему) государственный контроль (надзор),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исключающих производство по делу об административном правонарушении и возможность рассмотрения дела об административном правонарушении, не имеется. </w:t>
      </w:r>
    </w:p>
    <w:p>
      <w:pPr>
        <w:spacing w:before="0" w:after="0"/>
        <w:ind w:firstLine="60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отягчающих административную ответственность, в соответствии со ст.4.3 КоАП РФ, суд не усматривает.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определении меры наказания суд учитывает характер и степень общественной опасности деяния, данные о юридическом лице,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смягчающих и отягчающих административную ответственность обстоятельств, </w:t>
      </w: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 3.4 КоАП РФ полагает справедливым назначить наказание в виде предупреждения, то есть официального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порицания.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основании выше изложенного,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юридическое лицо - </w:t>
      </w:r>
      <w:r>
        <w:rPr>
          <w:rFonts w:ascii="Times New Roman" w:eastAsia="Times New Roman" w:hAnsi="Times New Roman" w:cs="Times New Roman"/>
          <w:sz w:val="27"/>
          <w:szCs w:val="27"/>
        </w:rPr>
        <w:t>Обществ</w:t>
      </w: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 ограниченной ответственностью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ЭЛИТ МЕБЕЛЬ +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ым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административного правонарушения, предусмотренного ст. </w:t>
      </w:r>
      <w:r>
        <w:rPr>
          <w:rFonts w:ascii="Times New Roman" w:eastAsia="Times New Roman" w:hAnsi="Times New Roman" w:cs="Times New Roman"/>
          <w:sz w:val="27"/>
          <w:szCs w:val="27"/>
        </w:rPr>
        <w:t>19.7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наказание в виде предупреждения.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</w:t>
      </w:r>
      <w:r>
        <w:rPr>
          <w:rFonts w:ascii="Times New Roman" w:eastAsia="Times New Roman" w:hAnsi="Times New Roman" w:cs="Times New Roman"/>
          <w:sz w:val="27"/>
          <w:szCs w:val="27"/>
        </w:rPr>
        <w:t>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«17» июня 2026 г.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№12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Г.П. Думлер________________________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6"/>
          <w:szCs w:val="26"/>
        </w:rPr>
        <w:t>7</w:t>
      </w:r>
      <w:r>
        <w:rPr>
          <w:rFonts w:ascii="Times New Roman" w:eastAsia="Times New Roman" w:hAnsi="Times New Roman" w:cs="Times New Roman"/>
          <w:sz w:val="26"/>
          <w:szCs w:val="26"/>
        </w:rPr>
        <w:t>93</w:t>
      </w:r>
      <w:r>
        <w:rPr>
          <w:rFonts w:ascii="Times New Roman" w:eastAsia="Times New Roman" w:hAnsi="Times New Roman" w:cs="Times New Roman"/>
          <w:sz w:val="26"/>
          <w:szCs w:val="26"/>
        </w:rPr>
        <w:t>-2612/2026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98205300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9rplc-8">
    <w:name w:val="cat-UserDefined grp-19 rplc-8"/>
    <w:basedOn w:val="DefaultParagraphFont"/>
  </w:style>
  <w:style w:type="character" w:customStyle="1" w:styleId="cat-UserDefinedgrp-20rplc-13">
    <w:name w:val="cat-UserDefined grp-20 rplc-13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E88A24-79F3-4F5A-B3B6-37E61B77E49B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